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tl w:val="0"/>
        </w:rPr>
        <w:t xml:space="preserve">Музыкальный блокчейн администратор “Revelator” поднимает продажи на 2,5 миллиона долларов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“Revelator”, облачный провайдер продаж и маркетингового анализа для приватного музыкального бизнеса, на этой неделе увеличил прибыль на 2,5 миллиона долларов в  цикле финансирования новой А-серии, возглавляемой “Exigent Capital”.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“Revelator” обещает эффективно контролировать права на музыку и переводить отчисления правообладателям. Это касается регистрации авторского права как электронных акций, защищенных аутентификацией мультиподписи, а также обеспечивает соблюдение интересов и юрисдикции обеих сторон.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“Exigent” был присоединен “Digital Currency Group”, которые инвестируют в биткойн и блокчейн компании.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“Если каждый день у вас есть данные, то почему мы не можем осуществлять платежи каждый день?”. Основатель и главный директор “Revelator” Бруно Гез говорит: “Если у вас есть тысяча загрузок, я могу заплатить вам завтра 700 долларов. Блокчейн технология предоставляет по-настоящему передовую технологию для музыкальной индустрии, - он также добавил. - И это не единственное, что действительно важно, это не решит все проблемы данной сферы, но я верю, что наше сегодняшнее предложение демонстрирует новые преимущества для музыки”.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Гез сообщил, что “Revelator” рассчитан на правообладателей, которые могут использовать данную технологию для лицензирования и распространения музыки или другого контента. Программа отслеживает количество загрузок, потоков на “Spotify” и других сервисах и т. д.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Платформа позволяет исполнителям при необходимости увидеть свои акции всего лишь через один клик. Им больше не нужно отправлять запрос менеджеру, бухгалтеру или студии звукозаписи и потом ждать ответа. Улучшение прозрачности поднимает доверие между всеми заинтересованными и уменьшает разногласия сторон. Это показывает унифицированный профиль, в котором панель инструментов представляет собой настоящее понимание отчетов по продажам.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Основанный в Израиле стартап только закончил проект для “WBUR”, общественной радиостанции Бостона, где разрабатывали музыкальную библиотеку для новой подкаст-платформы, и координировали все права для использования участниками станции “NPR” (“Национальное общественное радио”).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Согласно “Midemlab”, “Revelator” - один из 20 самых горячих музыкальных стартапов 2016 года.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Еще одна компания, которая представила свой механизм использования блокчейна в музыкальной индустрии, - “Colu”. Платформа стремится помочь разработчикам и клиентам, которые малознакомы с биткойном, создать свое приложение и обменять цифровые активы на всё, начиная с финансовой индустрии и заканчивая правом собственности.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  <w:t xml:space="preserve">Другие компании тоже используют блокчейн для защиты авторских прав. “Blockai”, к примеру, взял за основу блокчейн, чтобы контролировать их главным образом в сфере изобразительного искусства. </w:t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sectPr>
      <w:pgSz w:h="16834" w:w="11909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Verdan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Verdana" w:cs="Verdana" w:eastAsia="Verdana" w:hAnsi="Verdana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contextualSpacing w:val="1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contextualSpacing w:val="1"/>
    </w:pPr>
    <w:rPr>
      <w:rFonts w:ascii="Arial" w:cs="Arial" w:eastAsia="Arial" w:hAnsi="Arial"/>
      <w:b w:val="1"/>
      <w:i w:val="1"/>
      <w:smallCaps w:val="0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contextualSpacing w:val="1"/>
    </w:pPr>
    <w:rPr>
      <w:rFonts w:ascii="Arial" w:cs="Arial" w:eastAsia="Arial" w:hAnsi="Arial"/>
      <w:b w:val="1"/>
      <w:smallCaps w:val="0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contextualSpacing w:val="1"/>
    </w:pPr>
    <w:rPr>
      <w:b w:val="1"/>
      <w:smallCaps w:val="0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contextualSpacing w:val="1"/>
    </w:pPr>
    <w:rPr>
      <w:b w:val="1"/>
      <w:i w:val="1"/>
      <w:smallCaps w:val="0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contextualSpacing w:val="1"/>
    </w:pPr>
    <w:rPr>
      <w:b w:val="1"/>
      <w:smallCaps w:val="0"/>
      <w:sz w:val="22"/>
      <w:szCs w:val="22"/>
    </w:rPr>
  </w:style>
  <w:style w:type="paragraph" w:styleId="Title">
    <w:name w:val="Title"/>
    <w:basedOn w:val="Normal"/>
    <w:next w:val="Normal"/>
    <w:pPr>
      <w:spacing w:after="60" w:before="240" w:lineRule="auto"/>
      <w:contextualSpacing w:val="1"/>
      <w:jc w:val="center"/>
    </w:pPr>
    <w:rPr>
      <w:rFonts w:ascii="Arial" w:cs="Arial" w:eastAsia="Arial" w:hAnsi="Arial"/>
      <w:b w:val="1"/>
      <w:smallCaps w:val="0"/>
      <w:sz w:val="32"/>
      <w:szCs w:val="32"/>
    </w:rPr>
  </w:style>
  <w:style w:type="paragraph" w:styleId="Subtitle">
    <w:name w:val="Subtitle"/>
    <w:basedOn w:val="Normal"/>
    <w:next w:val="Normal"/>
    <w:pPr>
      <w:spacing w:line="360" w:lineRule="auto"/>
      <w:contextualSpacing w:val="1"/>
      <w:jc w:val="right"/>
    </w:pPr>
    <w:rPr>
      <w:rFonts w:ascii="Times New Roman" w:cs="Times New Roman" w:eastAsia="Times New Roman" w:hAnsi="Times New Roman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